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88" w:lineRule="auto"/>
        <w:ind w:right="160"/>
        <w:jc w:val="both"/>
        <w:rPr>
          <w:rFonts w:ascii="仿宋" w:hAnsi="仿宋" w:eastAsia="仿宋" w:cs="宋体"/>
          <w:b w:val="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kern w:val="0"/>
          <w:sz w:val="30"/>
          <w:szCs w:val="30"/>
        </w:rPr>
        <w:t>附件</w:t>
      </w:r>
    </w:p>
    <w:p>
      <w:pPr>
        <w:shd w:val="clear" w:color="auto" w:fill="FFFFFF"/>
        <w:spacing w:line="288" w:lineRule="auto"/>
        <w:ind w:right="160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</w:p>
    <w:p>
      <w:pPr>
        <w:shd w:val="clear" w:color="auto" w:fill="FFFFFF"/>
        <w:spacing w:line="288" w:lineRule="auto"/>
        <w:ind w:right="160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kern w:val="0"/>
          <w:sz w:val="36"/>
          <w:szCs w:val="36"/>
        </w:rPr>
        <w:t>浙江省建筑信息模型（BIM）技术推广</w:t>
      </w:r>
    </w:p>
    <w:p>
      <w:pPr>
        <w:shd w:val="clear" w:color="auto" w:fill="FFFFFF"/>
        <w:spacing w:line="560" w:lineRule="exact"/>
        <w:jc w:val="center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6"/>
          <w:szCs w:val="36"/>
        </w:rPr>
        <w:t>应用费用计价参考依据</w:t>
      </w:r>
    </w:p>
    <w:p>
      <w:pPr>
        <w:shd w:val="clear" w:color="auto" w:fill="FFFFFF"/>
        <w:spacing w:line="560" w:lineRule="exact"/>
        <w:jc w:val="left"/>
        <w:rPr>
          <w:rFonts w:ascii="仿宋" w:hAnsi="仿宋" w:eastAsia="仿宋" w:cs="Times New Roman"/>
          <w:kern w:val="28"/>
          <w:sz w:val="32"/>
          <w:szCs w:val="32"/>
        </w:rPr>
      </w:pPr>
    </w:p>
    <w:p>
      <w:pPr>
        <w:shd w:val="clear" w:color="auto" w:fill="FFFFFF"/>
        <w:spacing w:line="560" w:lineRule="exact"/>
        <w:jc w:val="left"/>
        <w:rPr>
          <w:rFonts w:ascii="仿宋" w:hAnsi="仿宋" w:eastAsia="仿宋" w:cs="Times New Roman"/>
          <w:kern w:val="28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为进一步推进我省建筑信息模型</w:t>
      </w:r>
      <w:r>
        <w:rPr>
          <w:rFonts w:ascii="仿宋" w:hAnsi="仿宋" w:eastAsia="仿宋" w:cs="Times New Roman"/>
          <w:kern w:val="28"/>
          <w:sz w:val="32"/>
          <w:szCs w:val="32"/>
        </w:rPr>
        <w:t>（Building Information Modeling，以下简称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BIM</w:t>
      </w:r>
      <w:r>
        <w:rPr>
          <w:rFonts w:ascii="仿宋" w:hAnsi="仿宋" w:eastAsia="仿宋" w:cs="Times New Roman"/>
          <w:kern w:val="28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技术应用发展，根据</w:t>
      </w:r>
      <w:r>
        <w:rPr>
          <w:rFonts w:ascii="仿宋" w:hAnsi="仿宋" w:eastAsia="仿宋" w:cs="Times New Roman"/>
          <w:kern w:val="28"/>
          <w:sz w:val="32"/>
          <w:szCs w:val="32"/>
        </w:rPr>
        <w:t>住房城乡建设部《关于推进建筑信息模型应用指导意见的通知》（建质函[2015]159号）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、浙江省人民政府办公厅《关于推进绿色建筑和建筑工业化发展的实施意见》等有关规定，制定BIM技术推广应用费用计价参考依据。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一、BIM技术应用费用计价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1.民用建筑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民用建筑的BIM实施内容广泛，根据应用的对象、目标分为新建项目和既有建筑目两大类。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（1）新建项目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新建民用建筑工程项目的BIM应用，分设计阶段、施工阶段、运维阶段等阶段，根据不同应用等级，完成一次建模和基本应用的费用计价标准详见附表。建筑面积小于5万平方米的按照5万平方米计算，建筑面积大于30万平方米的按照30万平方米计算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运维阶段的BIM应用系统开发，应在建立竣工BIM模型的基础上，根据运维需求，实施系统开发、信息录入、模型整理和模型入库等工作，具体费用根据项目需求和开发深度，由应用服务双方协商。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（2）既有建筑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在信息化精细化城市管理、安防保障等工作中，需要对部分即有建筑建立BIM模型。这些模型需在电子化设计资料基础上，结合竣工资料和现场实测进行建立，并考虑应用要求，根据实际需要增、减要素。BIM技术费用计价标准为10-12元/m</w:t>
      </w:r>
      <w:r>
        <w:rPr>
          <w:rFonts w:hint="eastAsia" w:ascii="仿宋" w:hAnsi="仿宋" w:eastAsia="仿宋" w:cs="Times New Roman"/>
          <w:kern w:val="28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（建筑面积）。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2. 轨道交通工程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轨道交通工程在设计施工阶段BIM技术应用工作内容包括：建模、配合竖向标高优化、协助图纸审查、模拟管线迁移、协助土方平衡等。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BIM技术费用计价标准：车站（含主体、出入口风井、附属设施、地面建筑物/构筑物、广场、地下管线及周边必要环境）按40-50万元/座计取；区间（主体及内部管线）按10-15万元/区间计取。区间需新建大型桥梁，或同步改造市政桥梁的，按实际项目复杂度和工作要求，由应用服务双方协商单独计取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3.地下综合管廊工程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地下综合管廊工程在设计施工阶段BIM技术应用工作内容包括：建模、协助设计方案比选优化（结合周边环境，分析管廊位置、走向等是否合理）、管线迁建模拟、管线综合与碰撞检查等。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BIM技术应用费用计价标准：按</w:t>
      </w:r>
      <w:r>
        <w:rPr>
          <w:rFonts w:ascii="仿宋" w:hAnsi="仿宋" w:eastAsia="仿宋" w:cs="Times New Roman"/>
          <w:kern w:val="28"/>
          <w:sz w:val="32"/>
          <w:szCs w:val="32"/>
        </w:rPr>
        <w:t>管廊长度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15-20万元/km计取。如需建立竣工模型，则需由建设单位提供竣工实测资料，并相应增加建立地下综合管廊竣工BIM模型的费用。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4.市政道路工程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市政道路工程在设计施工阶段BIM技术应用工作内容包括：建模、配合竖向标高优化、协助图纸审查、模拟管线迁移、协助土方平衡等。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BIM技术应用费用计价标准：按10-15万元/km计取，遇高架立交、桥梁、隧道等情况可按实际复杂度和应用需求，由双方协商增加费用。如需建立竣工模型，则需由建设单位提供竣工实测资料，并相应增加建立道路竣工BIM模型的费用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二、BIM技术应用深度和等级，可参考《</w:t>
      </w:r>
      <w:r>
        <w:rPr>
          <w:rFonts w:ascii="仿宋" w:hAnsi="仿宋" w:eastAsia="仿宋" w:cs="Times New Roman"/>
          <w:kern w:val="28"/>
          <w:sz w:val="32"/>
          <w:szCs w:val="32"/>
        </w:rPr>
        <w:t>浙江省建筑信息模型(BIM)技术应用导则</w:t>
      </w:r>
      <w:r>
        <w:rPr>
          <w:rFonts w:hint="eastAsia" w:ascii="仿宋" w:hAnsi="仿宋" w:eastAsia="仿宋" w:cs="Times New Roman"/>
          <w:kern w:val="28"/>
          <w:sz w:val="32"/>
          <w:szCs w:val="32"/>
        </w:rPr>
        <w:t>》和《建筑信息模型（BIM）应用统一标准》的相关要求。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三、建设单位为主导应用BIM技术，应根据工程项目复杂程度、应用深度不同，在项目立项时明确计取BIM应用要求和配套用费，计入工程建设成本，专款专用。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承包商为主导应用BIM技术，应按招标文件要求，在编制招标控制价和投标报价时，将BIM应用要求和配套用费在其他项目清单中按照暂列金额单独列项。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四、BIM技术应用成果作为新型城镇化建设的重要基础数据之一，各有关单位应积极探索BIM模型建库入库的技术路线，为以后新型智慧城市建设奠定基础。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五、本指导意见自发文之日起执行。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28"/>
          <w:sz w:val="32"/>
          <w:szCs w:val="32"/>
        </w:rPr>
      </w:pPr>
      <w:r>
        <w:rPr>
          <w:rFonts w:hint="eastAsia" w:ascii="仿宋" w:hAnsi="仿宋" w:eastAsia="仿宋" w:cs="Times New Roman"/>
          <w:kern w:val="28"/>
          <w:sz w:val="32"/>
          <w:szCs w:val="32"/>
        </w:rPr>
        <w:t>附件：民用建筑工程（新建项目）BIM技术应用费用计价参考表</w:t>
      </w:r>
    </w:p>
    <w:p>
      <w:pPr>
        <w:spacing w:line="560" w:lineRule="exact"/>
        <w:jc w:val="center"/>
        <w:rPr>
          <w:rFonts w:ascii="仿宋" w:hAnsi="仿宋" w:eastAsia="仿宋" w:cs="Times New Roman"/>
          <w:kern w:val="28"/>
          <w:sz w:val="32"/>
          <w:szCs w:val="32"/>
        </w:rPr>
      </w:pPr>
    </w:p>
    <w:p>
      <w:pPr>
        <w:shd w:val="clear" w:color="auto" w:fill="FFFFFF"/>
        <w:spacing w:line="560" w:lineRule="exact"/>
        <w:ind w:firstLine="4340" w:firstLineChars="1550"/>
        <w:jc w:val="left"/>
        <w:rPr>
          <w:rFonts w:ascii="宋体" w:hAnsi="宋体" w:eastAsia="宋体" w:cs="Times New Roman"/>
          <w:kern w:val="28"/>
          <w:sz w:val="28"/>
          <w:szCs w:val="28"/>
        </w:rPr>
      </w:pPr>
      <w:r>
        <w:rPr>
          <w:rFonts w:ascii="宋体" w:hAnsi="宋体" w:eastAsia="宋体" w:cs="Times New Roman"/>
          <w:kern w:val="28"/>
          <w:sz w:val="28"/>
          <w:szCs w:val="28"/>
        </w:rPr>
        <w:br w:type="page"/>
      </w:r>
    </w:p>
    <w:p>
      <w:pPr>
        <w:shd w:val="clear" w:color="auto" w:fill="FFFFFF"/>
        <w:spacing w:after="156" w:afterLines="50"/>
        <w:ind w:right="159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附件：</w:t>
      </w:r>
    </w:p>
    <w:p>
      <w:pPr>
        <w:shd w:val="clear" w:color="auto" w:fill="FFFFFF"/>
        <w:spacing w:after="156" w:afterLines="50"/>
        <w:ind w:right="159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民用建筑工程（新建项目）BIM技术应用费用计价参考表</w:t>
      </w:r>
    </w:p>
    <w:p>
      <w:pPr>
        <w:shd w:val="clear" w:color="auto" w:fill="FFFFFF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</w:t>
      </w:r>
      <w:r>
        <w:rPr>
          <w:rFonts w:hint="eastAsia" w:ascii="宋体" w:hAnsi="宋体" w:eastAsia="宋体" w:cs="Times New Roman"/>
          <w:kern w:val="28"/>
          <w:sz w:val="24"/>
          <w:szCs w:val="24"/>
        </w:rPr>
        <w:t>：元/m</w:t>
      </w:r>
      <w:r>
        <w:rPr>
          <w:rFonts w:hint="eastAsia" w:ascii="宋体" w:hAnsi="宋体" w:eastAsia="宋体" w:cs="Times New Roman"/>
          <w:kern w:val="28"/>
          <w:sz w:val="24"/>
          <w:szCs w:val="24"/>
          <w:vertAlign w:val="superscript"/>
        </w:rPr>
        <w:t>2</w:t>
      </w:r>
      <w:r>
        <w:rPr>
          <w:rFonts w:hint="eastAsia" w:ascii="宋体" w:hAnsi="宋体" w:eastAsia="宋体" w:cs="Times New Roman"/>
          <w:kern w:val="28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按建筑面积计取</w:t>
      </w:r>
      <w:r>
        <w:rPr>
          <w:rFonts w:hint="eastAsia" w:ascii="宋体" w:hAnsi="宋体" w:eastAsia="宋体" w:cs="Times New Roman"/>
          <w:kern w:val="28"/>
          <w:sz w:val="24"/>
          <w:szCs w:val="24"/>
        </w:rPr>
        <w:t>）</w:t>
      </w:r>
    </w:p>
    <w:tbl>
      <w:tblPr>
        <w:tblStyle w:val="4"/>
        <w:tblW w:w="1063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56"/>
        <w:gridCol w:w="1378"/>
        <w:gridCol w:w="3141"/>
        <w:gridCol w:w="2931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8"/>
                <w:sz w:val="24"/>
                <w:szCs w:val="24"/>
              </w:rPr>
              <w:t>应用等级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8"/>
                <w:sz w:val="24"/>
                <w:szCs w:val="24"/>
              </w:rPr>
              <w:t>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8"/>
                <w:sz w:val="24"/>
                <w:szCs w:val="24"/>
              </w:rPr>
              <w:t>所含专业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8"/>
                <w:sz w:val="24"/>
                <w:szCs w:val="24"/>
              </w:rPr>
              <w:t>模型深度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8"/>
                <w:sz w:val="24"/>
                <w:szCs w:val="24"/>
              </w:rPr>
              <w:t>服务内容（应用选项）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28"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一级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设计阶段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建筑、结构、场地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应用于设计阶段，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模型细度达到</w:t>
            </w:r>
            <w:r>
              <w:rPr>
                <w:sz w:val="24"/>
                <w:szCs w:val="24"/>
              </w:rPr>
              <w:t>LOD300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建模、性能分析、仿真漫游、面积及构件统计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施工阶段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建筑、结构、场地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设计模型应用于施工阶段，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细</w:t>
            </w: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度同上。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施工模拟及仿真漫游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运维阶段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建筑、结构、场地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设计模型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应用于运维阶段，细</w:t>
            </w: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度同上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楼层巡视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二级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设计阶段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建筑、结构、机电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应用于设计阶段，模型细度达到</w:t>
            </w:r>
            <w:r>
              <w:rPr>
                <w:sz w:val="24"/>
                <w:szCs w:val="24"/>
              </w:rPr>
              <w:t>LOD300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建模、性能分析、面积统计、冲突检测、辅助施工图设计、仿真漫游、工程量统计。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地质勘察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应用于设计阶段，可包括粗勘、详勘。根据钻孔资料建立三维地质模型。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拟合地层曲面及地表建筑物、构筑物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按勘测费15%计取，不少于5000元/项目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施工阶段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建筑、结构、机电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在设计模型基础上进行深化，建立施工模型，模型细度达到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施工深化、冲突检测、施工模拟、仿真漫游、施工工程量统计。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运维阶段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 xml:space="preserve">建筑、结构、机电 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根据竣工资料和现场实测调整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施工</w:t>
            </w: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模型成果，获得与现场安装实际一致的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运维模型，模型细度不小于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运维仿真漫游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三级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设计阶段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建筑、结构、机电、景观、室内、幕墙、岩土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应用于设计阶段，模型细度达到</w:t>
            </w:r>
            <w:r>
              <w:rPr>
                <w:sz w:val="24"/>
                <w:szCs w:val="24"/>
              </w:rPr>
              <w:t>LOD300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建模、性能分析、面积统计、冲突检测、辅助施工图设计、仿真漫游、工程量统计。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地质勘察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应用于设计阶段，可包括粗勘、详勘。根据钻孔资料建立三维地质模型。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拟合地层曲面及地表建筑物、构筑物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按勘测费15%计取，不少于5000元/项目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施工阶段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建筑、结构、机电、景观、室内、幕墙、岩土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在设计模型基础上进行深化，建立施工模型，模型细度达到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施工深化、冲突检测、施工模拟、仿真漫游、施工工程量统计。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运维阶段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 xml:space="preserve">建筑、结构、机电、景观、室内、幕墙、岩土 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根据竣工资料和现场实测调整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施工</w:t>
            </w: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模型成果，获得与现场安装实际一致的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运维模型，模型细度不小于</w:t>
            </w:r>
            <w:r>
              <w:rPr>
                <w:sz w:val="24"/>
                <w:szCs w:val="24"/>
              </w:rPr>
              <w:t>LOD400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运维仿真漫游、3D数据采集和集成、设备设施管理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0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156" w:beforeLines="50" w:line="360" w:lineRule="auto"/>
              <w:ind w:right="159" w:firstLine="480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注：1.以上费用为一次建模应用费用，如实施过程中出现大规模设计调整，则根据实际增加工作量协商相应增加费用。</w:t>
            </w:r>
          </w:p>
          <w:p>
            <w:pPr>
              <w:shd w:val="clear" w:color="auto" w:fill="FFFFFF"/>
              <w:spacing w:line="360" w:lineRule="auto"/>
              <w:ind w:right="159" w:firstLine="480" w:firstLineChars="200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2.住宅小区地上建筑乘以0.8系数；钢结构、超高层、文体场馆、大型交通枢纽、医院等复杂建筑，费用应根据其复杂度乘以系数1.5-2.0，具体由双方另行协商。</w:t>
            </w:r>
          </w:p>
          <w:p>
            <w:pPr>
              <w:shd w:val="clear" w:color="auto" w:fill="FFFFFF"/>
              <w:spacing w:line="360" w:lineRule="auto"/>
              <w:ind w:right="159" w:firstLine="480" w:firstLineChars="200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3.施工阶段、运维阶段的BIM应用，须在前一阶段BIM实施成果上开展。</w:t>
            </w:r>
          </w:p>
          <w:p>
            <w:pPr>
              <w:shd w:val="clear" w:color="auto" w:fill="FFFFFF"/>
              <w:spacing w:line="360" w:lineRule="auto"/>
              <w:ind w:right="159" w:firstLine="480" w:firstLineChars="200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4.同一BIM技术服务商提供设计、施工、运维全生命周期的BIM应用服务的费用，在各阶段费用累加的基础上乘以0.85系数。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rFonts w:ascii="宋体" w:hAnsi="宋体" w:eastAsia="宋体" w:cs="Times New Roman"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  <w:szCs w:val="24"/>
              </w:rPr>
              <w:t>5.其他BIM应用按实际内容和服务深度，由双方协商确定。</w:t>
            </w:r>
          </w:p>
        </w:tc>
      </w:tr>
    </w:tbl>
    <w:p>
      <w:pPr>
        <w:shd w:val="clear" w:color="auto" w:fill="FFFFFF"/>
        <w:spacing w:line="288" w:lineRule="auto"/>
        <w:jc w:val="left"/>
        <w:rPr>
          <w:rFonts w:ascii="宋体" w:hAnsi="宋体" w:eastAsia="宋体" w:cs="Times New Roman"/>
          <w:kern w:val="28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004CB"/>
    <w:rsid w:val="220004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2017-09-25T03:29:00Z</dcterms:created>
  <dc:creator>浙江省住建厅一号</dc:creator>
  <cp:lastModifiedBy>浙江省住建厅一号</cp:lastModifiedBy>
  <dcterms:modified xsi:type="dcterms:W3CDTF">2017-09-25T03:30:06Z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